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00" w:lineRule="exact"/>
        <w:jc w:val="center"/>
        <w:rPr>
          <w:rFonts w:ascii="黑体" w:hAnsi="黑体" w:eastAsia="黑体" w:cs="Helvetica"/>
          <w:b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Helvetica"/>
          <w:b/>
          <w:bCs/>
          <w:color w:val="333333"/>
          <w:kern w:val="0"/>
          <w:sz w:val="44"/>
          <w:szCs w:val="44"/>
        </w:rPr>
        <w:t>成都体育学院</w:t>
      </w: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ascii="黑体" w:hAnsi="黑体" w:eastAsia="黑体" w:cs="Helvetica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Helvetica"/>
          <w:b/>
          <w:bCs/>
          <w:color w:val="333333"/>
          <w:kern w:val="0"/>
          <w:sz w:val="44"/>
          <w:szCs w:val="44"/>
        </w:rPr>
        <w:t>在职教职工医疗互助会补充细则</w:t>
      </w:r>
    </w:p>
    <w:bookmarkEnd w:id="0"/>
    <w:p>
      <w:pPr>
        <w:widowControl/>
        <w:shd w:val="clear" w:color="auto" w:fill="FFFFFF"/>
        <w:snapToGrid w:val="0"/>
        <w:spacing w:line="500" w:lineRule="exact"/>
        <w:jc w:val="center"/>
        <w:rPr>
          <w:rFonts w:ascii="黑体" w:hAnsi="黑体" w:eastAsia="黑体" w:cs="Helvetica"/>
          <w:b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ascii="黑体" w:hAnsi="黑体" w:eastAsia="黑体" w:cs="Helvetica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Helvetica"/>
          <w:b/>
          <w:bCs/>
          <w:color w:val="333333"/>
          <w:kern w:val="0"/>
          <w:sz w:val="32"/>
          <w:szCs w:val="32"/>
        </w:rPr>
        <w:t>（征求意见稿）</w:t>
      </w:r>
    </w:p>
    <w:p>
      <w:pPr>
        <w:widowControl/>
        <w:shd w:val="clear" w:color="auto" w:fill="FFFFFF"/>
        <w:snapToGrid w:val="0"/>
        <w:spacing w:line="500" w:lineRule="exact"/>
        <w:jc w:val="center"/>
        <w:rPr>
          <w:rFonts w:cs="Helvetica" w:asciiTheme="minorEastAsia" w:hAnsiTheme="minorEastAsia"/>
          <w:b/>
          <w:bCs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640" w:firstLineChars="20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根据《成都体育学院在职教职工医疗互助会简章》的规定，经“互助会”指导小组讨论确定本《补充细则》，自颁布之日起试行。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会  员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第一款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入会或退会时，须提交本人签名的《入（退）会申请表》；采用集体入会方式的，须有每位申请者的签名。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第二款 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入会申请的受理时间为每年1月，入会时间自当年1月起；其余时间不受理入会申请。首次申报时间为2017年*月。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第三款 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会员交纳会费一年以上且继续交纳会费的，有以下权利：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1）连续交纳会费达到一定年限，在申请医疗补助时其计补比例逐年适度提高。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2）临终治疗时产生的医疗费用，其“自付”部分按全额计补，但不超过该项限额；其“自费”部分按最高比例计补，但不超过该项限额。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互助金管理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第四款 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会员每月交纳会费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元，保持三年不变，今后根据情况可适度调整。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补助实施方式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第五款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“互助会”受理医疗补助申请的时间为每年12月1日-31日，会员应如实填写申请表、提供相关单据的复印件。住院时间跨年度的，可纳入下年度受理。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第六款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医疗补助的实施时间为次年的3月31日以前，补助金将划拨到会员的工资卡中。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补助计算方案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第七款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补助计算的基本原则是“分类计补”，将个人年度医疗费用分为“自付”和“自费”两部分，分别计补，实施的补助为此两类补助之和。侧重减轻“自付”部分的负担，兼顾减轻“自费”部分的负担。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1）“自付”部分：指属于省医保和校补充医保范围内的诊疗项目，当年所产生的可报销费用、经报销后的剩余部分的总和；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2）“自费”部分：指属于省医保和校补充医保范围内的诊疗项目，当年所产生的自费药品的费用与住院“门槛费”的总和。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第八款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个人年度医疗补助的计算，采用“全额累进、等比递增”的方法，体现“负担重则补助多”的倾斜思路，具体为：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（一）计算公式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1）设起补线( )和对应的起补比例( )：未达到此“起补线”金额的，不计补；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2）设高补线( )和对应的高补比例( )：超过“高补线”金额的，计补比例按最高比例计算，计补比例不再继续提高；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3）介于起补线和高补线之间的金额( )：按下列公式计算对应的计补比例( )和补助金额( )：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735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， 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FF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（二）基本参数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下列参数保持相对稳定，但可根据情况进行适度调整：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1）“自付”部分的基本参数为：  =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2000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（元），  =10000（元），  =60%， =80%；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2）“自费”部分的基本参数为：  =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2000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（元），  =10000（元），  =30%， =60%。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第九款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为控制“互助金”的风险，个人年度补助实施总额限制，此额度保持相对稳定，但可根据情况进行适度调整：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1）“自付”部分的补助限额为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3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万元；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ind w:firstLine="560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2）“自费”部分的补助限额为3万元。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附  则</w:t>
      </w: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</w:p>
    <w:p>
      <w:pPr>
        <w:widowControl/>
        <w:pBdr>
          <w:bottom w:val="dashed" w:color="999999" w:sz="6" w:space="27"/>
        </w:pBdr>
        <w:shd w:val="clear" w:color="auto" w:fill="FFFFFF"/>
        <w:snapToGrid w:val="0"/>
        <w:spacing w:line="500" w:lineRule="exact"/>
        <w:jc w:val="left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32"/>
          <w:szCs w:val="32"/>
        </w:rPr>
        <w:t>第十款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本补充细则自  年  月  日起实施，解释权属“互助会”指导小组，若有调整将及时向会员公告。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23EAC"/>
    <w:rsid w:val="04023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2017-05-05T03:02:00Z</dcterms:created>
  <dc:creator>Administrator</dc:creator>
  <lastModifiedBy>Administrator</lastModifiedBy>
  <dcterms:modified xsi:type="dcterms:W3CDTF">2017-05-05T03:03:46Z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